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1721" w14:textId="7492D72F" w:rsidR="00065167" w:rsidRPr="00E10DD0" w:rsidRDefault="00D011B7" w:rsidP="003F2552">
      <w:pPr>
        <w:pStyle w:val="Tekstpodstawowy3"/>
        <w:ind w:left="142" w:hanging="142"/>
        <w:jc w:val="right"/>
        <w:rPr>
          <w:rFonts w:ascii="Arial" w:hAnsi="Arial" w:cs="Arial"/>
          <w:b/>
          <w:sz w:val="22"/>
          <w:szCs w:val="22"/>
        </w:rPr>
      </w:pPr>
      <w:r w:rsidRPr="00E10DD0">
        <w:rPr>
          <w:rFonts w:ascii="Arial" w:hAnsi="Arial" w:cs="Arial"/>
          <w:b/>
          <w:sz w:val="22"/>
          <w:szCs w:val="22"/>
        </w:rPr>
        <w:t xml:space="preserve">Załącznik nr </w:t>
      </w:r>
      <w:r w:rsidR="00976D74">
        <w:rPr>
          <w:rFonts w:ascii="Arial" w:hAnsi="Arial" w:cs="Arial"/>
          <w:b/>
          <w:sz w:val="22"/>
          <w:szCs w:val="22"/>
        </w:rPr>
        <w:t>4</w:t>
      </w:r>
      <w:r w:rsidRPr="00E10DD0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77777777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Stoisławiu S.A.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>w postępowaniach dotyczących wyboru dostawców usług, składników aktywów trwałych oraz materiałów remontowych w toku procesu inwestycyjnego i remontowego w Przedsiębiorstwie Zbożowo - Młynarskim "PZZ" w Stoisławiu S.A.  („Postępowanie”)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45E23224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E10DD0" w:rsidRPr="00E10DD0">
        <w:rPr>
          <w:rFonts w:ascii="Arial" w:hAnsi="Arial" w:cs="Arial"/>
          <w:b w:val="0"/>
          <w:szCs w:val="22"/>
        </w:rPr>
        <w:t>anna.metlewicz</w:t>
      </w:r>
      <w:r w:rsidR="00901B18" w:rsidRPr="00276220">
        <w:rPr>
          <w:rFonts w:ascii="Arial" w:hAnsi="Arial" w:cs="Arial"/>
          <w:b w:val="0"/>
          <w:szCs w:val="22"/>
        </w:rPr>
        <w:t>@</w:t>
      </w:r>
      <w:r w:rsidR="003F2552">
        <w:rPr>
          <w:rFonts w:ascii="Arial" w:hAnsi="Arial" w:cs="Arial"/>
          <w:b w:val="0"/>
          <w:szCs w:val="22"/>
        </w:rPr>
        <w:t>stosilaw.com</w:t>
      </w:r>
      <w:r w:rsidR="00901B18"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BD5B" w14:textId="77777777" w:rsidR="00217044" w:rsidRDefault="00217044">
      <w:r>
        <w:separator/>
      </w:r>
    </w:p>
  </w:endnote>
  <w:endnote w:type="continuationSeparator" w:id="0">
    <w:p w14:paraId="0A4FE6B8" w14:textId="77777777" w:rsidR="00217044" w:rsidRDefault="0021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5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CE71" w14:textId="77777777" w:rsidR="00217044" w:rsidRDefault="00217044">
      <w:r>
        <w:separator/>
      </w:r>
    </w:p>
  </w:footnote>
  <w:footnote w:type="continuationSeparator" w:id="0">
    <w:p w14:paraId="621BDDD8" w14:textId="77777777" w:rsidR="00217044" w:rsidRDefault="0021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2790334">
    <w:abstractNumId w:val="26"/>
  </w:num>
  <w:num w:numId="2" w16cid:durableId="385615338">
    <w:abstractNumId w:val="16"/>
  </w:num>
  <w:num w:numId="3" w16cid:durableId="705713926">
    <w:abstractNumId w:val="18"/>
  </w:num>
  <w:num w:numId="4" w16cid:durableId="1569344939">
    <w:abstractNumId w:val="17"/>
  </w:num>
  <w:num w:numId="5" w16cid:durableId="1765689788">
    <w:abstractNumId w:val="38"/>
  </w:num>
  <w:num w:numId="6" w16cid:durableId="10890362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3561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658834">
    <w:abstractNumId w:val="15"/>
  </w:num>
  <w:num w:numId="9" w16cid:durableId="363481323">
    <w:abstractNumId w:val="32"/>
  </w:num>
  <w:num w:numId="10" w16cid:durableId="560218544">
    <w:abstractNumId w:val="35"/>
  </w:num>
  <w:num w:numId="11" w16cid:durableId="2122337519">
    <w:abstractNumId w:val="46"/>
  </w:num>
  <w:num w:numId="12" w16cid:durableId="1845825264">
    <w:abstractNumId w:val="1"/>
  </w:num>
  <w:num w:numId="13" w16cid:durableId="1367950269">
    <w:abstractNumId w:val="19"/>
  </w:num>
  <w:num w:numId="14" w16cid:durableId="1758137458">
    <w:abstractNumId w:val="9"/>
  </w:num>
  <w:num w:numId="15" w16cid:durableId="884560075">
    <w:abstractNumId w:val="25"/>
  </w:num>
  <w:num w:numId="16" w16cid:durableId="2116248750">
    <w:abstractNumId w:val="43"/>
  </w:num>
  <w:num w:numId="17" w16cid:durableId="1784958929">
    <w:abstractNumId w:val="13"/>
  </w:num>
  <w:num w:numId="18" w16cid:durableId="909850426">
    <w:abstractNumId w:val="6"/>
  </w:num>
  <w:num w:numId="19" w16cid:durableId="1109082337">
    <w:abstractNumId w:val="28"/>
  </w:num>
  <w:num w:numId="20" w16cid:durableId="1391227925">
    <w:abstractNumId w:val="34"/>
  </w:num>
  <w:num w:numId="21" w16cid:durableId="663699428">
    <w:abstractNumId w:val="37"/>
  </w:num>
  <w:num w:numId="22" w16cid:durableId="290550076">
    <w:abstractNumId w:val="5"/>
  </w:num>
  <w:num w:numId="23" w16cid:durableId="997999288">
    <w:abstractNumId w:val="17"/>
  </w:num>
  <w:num w:numId="24" w16cid:durableId="943222573">
    <w:abstractNumId w:val="21"/>
  </w:num>
  <w:num w:numId="25" w16cid:durableId="977417691">
    <w:abstractNumId w:val="7"/>
  </w:num>
  <w:num w:numId="26" w16cid:durableId="200627744">
    <w:abstractNumId w:val="27"/>
  </w:num>
  <w:num w:numId="27" w16cid:durableId="1507861938">
    <w:abstractNumId w:val="2"/>
  </w:num>
  <w:num w:numId="28" w16cid:durableId="1036855184">
    <w:abstractNumId w:val="31"/>
  </w:num>
  <w:num w:numId="29" w16cid:durableId="943995970">
    <w:abstractNumId w:val="45"/>
  </w:num>
  <w:num w:numId="30" w16cid:durableId="2100329831">
    <w:abstractNumId w:val="12"/>
  </w:num>
  <w:num w:numId="31" w16cid:durableId="758720574">
    <w:abstractNumId w:val="14"/>
  </w:num>
  <w:num w:numId="32" w16cid:durableId="506596515">
    <w:abstractNumId w:val="20"/>
  </w:num>
  <w:num w:numId="33" w16cid:durableId="1788312627">
    <w:abstractNumId w:val="42"/>
  </w:num>
  <w:num w:numId="34" w16cid:durableId="571039022">
    <w:abstractNumId w:val="44"/>
  </w:num>
  <w:num w:numId="35" w16cid:durableId="1106655459">
    <w:abstractNumId w:val="11"/>
  </w:num>
  <w:num w:numId="36" w16cid:durableId="1196894926">
    <w:abstractNumId w:val="23"/>
  </w:num>
  <w:num w:numId="37" w16cid:durableId="2001228661">
    <w:abstractNumId w:val="0"/>
  </w:num>
  <w:num w:numId="38" w16cid:durableId="1539391849">
    <w:abstractNumId w:val="10"/>
  </w:num>
  <w:num w:numId="39" w16cid:durableId="2097558772">
    <w:abstractNumId w:val="36"/>
  </w:num>
  <w:num w:numId="40" w16cid:durableId="1000277762">
    <w:abstractNumId w:val="33"/>
  </w:num>
  <w:num w:numId="41" w16cid:durableId="1295478118">
    <w:abstractNumId w:val="8"/>
  </w:num>
  <w:num w:numId="42" w16cid:durableId="1270164549">
    <w:abstractNumId w:val="30"/>
  </w:num>
  <w:num w:numId="43" w16cid:durableId="1901359276">
    <w:abstractNumId w:val="41"/>
  </w:num>
  <w:num w:numId="44" w16cid:durableId="313070395">
    <w:abstractNumId w:val="3"/>
  </w:num>
  <w:num w:numId="45" w16cid:durableId="1742285799">
    <w:abstractNumId w:val="40"/>
  </w:num>
  <w:num w:numId="46" w16cid:durableId="550771166">
    <w:abstractNumId w:val="24"/>
  </w:num>
  <w:num w:numId="47" w16cid:durableId="933125720">
    <w:abstractNumId w:val="22"/>
  </w:num>
  <w:num w:numId="48" w16cid:durableId="1719974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044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A73A0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44C7E"/>
    <w:rsid w:val="00965D5B"/>
    <w:rsid w:val="00976D74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61FA7"/>
    <w:rsid w:val="00A65C49"/>
    <w:rsid w:val="00A828F5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1465-EFB7-41A7-8558-A445D967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3</cp:revision>
  <cp:lastPrinted>2025-08-06T09:30:00Z</cp:lastPrinted>
  <dcterms:created xsi:type="dcterms:W3CDTF">2019-01-28T11:03:00Z</dcterms:created>
  <dcterms:modified xsi:type="dcterms:W3CDTF">2025-08-06T09:31:00Z</dcterms:modified>
</cp:coreProperties>
</file>